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2024年中央林业草原生态保护恢复资金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裕民县自然资源局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裕民县自然资源局</w:t>
      </w:r>
    </w:p>
    <w:p>
      <w:pPr>
        <w:spacing w:line="540" w:lineRule="exact"/>
        <w:ind w:firstLine="900" w:firstLineChars="250"/>
        <w:rPr>
          <w:rFonts w:hint="eastAsia" w:ascii="楷体" w:hAnsi="楷体" w:eastAsia="楷体"/>
          <w:b/>
          <w:bCs/>
          <w:spacing w:val="-4"/>
          <w:sz w:val="32"/>
          <w:szCs w:val="32"/>
          <w:lang w:eastAsia="zh-CN"/>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李鼎</w:t>
      </w:r>
      <w:r>
        <w:rPr>
          <w:rStyle w:val="19"/>
          <w:rFonts w:hint="eastAsia" w:ascii="楷体" w:hAnsi="楷体" w:eastAsia="楷体"/>
          <w:spacing w:val="-4"/>
          <w:sz w:val="32"/>
          <w:szCs w:val="32"/>
          <w:lang w:val="en-US" w:eastAsia="zh-CN"/>
        </w:rPr>
        <w:t>铸</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加强公益林保护工作，森林草原资源得到了有效保护，切实增强了林木生长力，林分机构不断改善，林分质量不断提高，森林蓄积量不断增加。森林的涵养水源、保持水土、调节气候、降低噪音、净化空气、美化环境等功能得以大幅提升，对提高林业碳汇功能、减少水土流失、秀美乡村、乡村振兴等多样化提供了有力条件。</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2.项目主要内容：</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项目主要内容：项目资金项目资金用于管护员劳务报酬、日常管护、管护能力提升（加固改造管护站1座、功能完善1座）、信息化建设、森林病虫害防治以及森林草原消防应急分队建设。</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项目实施情况：完成了2万亩鼠虫害防治、2个管护站维修改造、应急分队建设以及管护员劳务报酬、车辆运行、日常管护等支出。</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（1）资金投入情况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该项目年初预算数673万元，全年预算数673万元，该项目资金已全部落实到位，资金来源为央财政林业草原生态保护恢复资金。</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（2）资金使用情况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该项目年初预算数673万元，全年预算数673万元，，全年执行数612.916959万元，预算执行率为率91.07%，主要用国家级公益林管护员劳务报酬、五险一金等劳务保障支出，管护车辆维护及燃油、管护员装备、购置管护站用煤等日常支出，管护站加固改造、功能完善、2万亩鼠害监测及公益林区开展松材线虫等重大林业有害生物监测和检疫阻隔以及新疆裕民县巴尔鲁克山国有林管理局森林草原消防应急分队建设。</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不断改善管护站基础设施条件，保障护林员劳务报酬和社保水平稳定增长，切实增强护林员管护的积极性和主动性，从而全面完成各项管护任务。同时，加强现代化信息运用措施及手段，建立智能管护体系，着力改变传统的林业监管工作模式，实现林业管理现代化，有效保障了全县森林资源安全，提高植被的密度和盖度，能够有效的抵御风沙，减少地表径流，防治土地沙漠化，为保护生态平衡提供了强有力的保障，使森林植被充分发挥生态作用，改善生态环境。</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2.阶段性目标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管护人员劳务支出贯穿全年，按月给护林员进行工资发放。日常管护支出主要包括车辆运行费、管护站运行费、管护日常办公费，全年建设内容已完成。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2.绩效评价的目的</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（1）评估项目实施效果</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通过对项目预算执行情况及各项绩效目标达成程度的系统性分析，全面、客观地评估项目在预定周期内的实施效果，包括社会效益、生态效益多维度指标，为项目后续的改进与优化提供科学依据。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（2）提升资源利用效率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（3）强化项目管理责任</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（4）为决策提供支持</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（5）促进项目持续改进</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3.绩效评价的对象</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的评价对象是塔城地区裕民县2024年中央财政林业草原生态保护恢复资金（森林生态保护修复）项目及其预算执行情况。该项目由裕民县自然资源局负责实施，旨在不断改善管护站基础设施条件，保障护林员劳务报酬和社保水平稳定增长，切实增强护林员管护的积极性和主动性，从而全面完成各项管护任务。同时，加强现代化信息运用措施及手段，建立智能管护体系，着力改变传统的林业监管工作模式，实现林业管理现代化，有效保障了全县森林资源安全，提高植被的密度和盖度，能够有效的抵御风沙，减少地表径流，防治土地沙漠化，为保护生态平衡提供了强有力的保障，使森林植被充分发挥生态作用，改善生态环境。项目预算涵盖从2024年1月至[2024年12月的全部资金投入与支出，涉及资金总额为673万元。</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4.绩效评价的范围</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（4）社会、生态等影响：考察项目对社会、生态、经济等方面的综合影响。</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（1）确定评价指标</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（2）确定权重</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（3）确定指标标准值</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绩效评价总分值100分，根据综合评分结果，90（含）-100分为优、80（含）-90分为良、60（含）-80分为中、60分以下为差。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具体评价指标体系详情见附件1</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3.绩效评价方法</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本次评价指标中，采用因素分析法。综合分析影响绩效目标实现、实施效果的内外部因素。</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（2）指标体系构建</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（3）数据收集与整理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（4）数据分析与评估</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（5）报告撰写与反馈</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（6）后续跟踪与改进</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塔城地区裕民县2024年中央财政林业草原生态保护恢复资金（森林生态保护修复）项目，在数量指标、质量指标等方面表现出色，达到了预期的标准与要求。同时，项目也在效益指标取得了显著的成效，如社会效益、生态效益等。</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在项目管理方面，裕民县自然资源局通过有效的规划、组织与协调，项目得以顺利实施，并在预算与时间上保持了良好的控制。</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从项目效益的角度来看，本项目不仅实现了预期的社会效益、经济效益等方面产生了积极的影响。具体而言，解决就业人元、公益林管护质量等方面的提升，为项目的利益相关者带来了实实在在的利益。</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综上所述，塔城地区裕民县2024年中央财政林业草原生态保护恢复资金（森林生态保护修复）项目在绩效评价中表现出色，达到了项目的预期目标，并在多个方面取得了显著的成效。</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（二）评价结论</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98分，属于“优”。其中，项目决策类指标权重为20分，得分为 20分，得分率为100%。项目过程类指标权重为20分，得分为20分，得分率为 100%。项目产出类指标权重为40分，得分为38分，得分率为 100%。项目效益类指标权重为20分，得分为20分，得分率为100%。具体打分情况详见：附件1综合评分表。</w:t>
      </w:r>
    </w:p>
    <w:p>
      <w:pPr>
        <w:pStyle w:val="15"/>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p>
    <w:p>
      <w:pPr>
        <w:pStyle w:val="15"/>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default" w:ascii="Times New Roman" w:hAnsi="Times New Roman" w:eastAsia="仿宋_GB2312" w:cs="Times New Roman"/>
          <w:color w:val="auto"/>
          <w:sz w:val="21"/>
          <w:szCs w:val="21"/>
          <w:highlight w:val="none"/>
        </w:rPr>
        <w:t>表1综合评分表</w:t>
      </w:r>
    </w:p>
    <w:tbl>
      <w:tblPr>
        <w:tblStyle w:val="16"/>
        <w:tblW w:w="8760" w:type="dxa"/>
        <w:jc w:val="center"/>
        <w:tblLayout w:type="fixed"/>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38</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98</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eastAsia" w:eastAsia="仿宋_GB2312" w:cs="Times New Roman"/>
                <w:color w:val="auto"/>
                <w:sz w:val="21"/>
                <w:szCs w:val="21"/>
                <w:highlight w:val="none"/>
                <w:lang w:val="en-US" w:eastAsia="zh-CN"/>
              </w:rPr>
              <w:t>100%</w:t>
            </w:r>
          </w:p>
        </w:tc>
      </w:tr>
    </w:tbl>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项目决策类指标包括项目立项、绩效目标和资金投入三方面的内容，由6个三级指标构成，权重分值为20分，实际得分20分，得分率为20%。</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立项符合国家相关法律法规及发展政策，符合行业规划要求，如新疆维吾尔自治区林业和草原局《关于印发&lt;新疆维吾尔自治区国家级公益林管护办法&gt;的通知》新林规[2021]3号、四、新疆维吾尔自治区林业和草原局《关于印发&lt;新疆维吾尔自治区国家级公益林管护质量检查办法&gt;的通知》新林规[2021]4号等文件、围绕本年度工作重点和工作计划制定经费预算，属于公共财政支持范围。本项目与部门内部其他相关项目不重复。部门发展规划及职能文件等归档完整。</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申请、设立过程符合相关要求，严格按照项目申报指南要求，经过与部门项目分管领导沟通、筛选确定项目实施内容，确定最终预算方案。项目的审批文件、材料符合相关要求，项目事前经过必要的可行性研究、专家论证、集体决策，保障了程序的规范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（1）绩效目标合理性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（2）绩效指标明确性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（1）预算编制科学性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（2）资金分配合理性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项目过程类指标包括资金管理和组织实施两方面的内容，由5个三级指标构成，权重分值为20分，实际得分20分，得分率为100%。</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本项目总投资673万元，财政资金及时足额到位，到位率100%，预算资金按计划进度执行。</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预算编制较为详细，项目资金支出总体能够按照预算执行，预算资金支出612.916959万元，预算执行率为91.07%。</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（3）资金使用合规性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使用严格遵循了《塔城地区专项资金闭环管理操作规程》（塔地财规〔2021〕1号）、《关于印发&lt;新疆维吾尔自治区林业生态保护恢复资金管理实施办法&gt;的通知》（新财规〔2020〕19号）文件规定，确保了资金的合规性与安全性。在资金使用过程中，我们建立了完善的财务管理体系，对资金的流动进行了全程监控与记录。</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（1）管理制度健全性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制定了《裕民县2024年国家级公益林项目管理制度》，为项目的成功实施提供了坚实的制度保障。项目管理制度的制定紧密结合了项目的特点与实际情况，涵盖了项目的策划、组织、实施、监控与收尾等各个环节。</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（2）制度执行有效性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项目产出类指标包括产出数量、产出质量、产出时效、产出成本四方面的内容，由13个三级指标构成，权重分为40分，实际得分40分，得分率为100%。具体产出指标完成情况如下：</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①数量指标：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指标1：计划发放工资人数，指标值：&gt;=47人，实际完成值：48人，指标完成率102%，分值5分，得分5分。偏差原因：偏差20%以内属于正常偏差，可视为无偏差。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指标2：管护站管护能力提升个数，指标值：&gt;=4个，实际完成值：4个，指标完成率100 %，分值5分，得分5分。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指标3：防火应急分队人数，指标值：&gt;=7人，实际完成值：7人，指标完成率100 %，分值5分，得分5分。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指标4：病虫害防治批次，指标值：&gt;=2批，实际完成值：2批，指标完成率100 %，分值5分，得分5分。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指标5：购买宣传及物资装备，指标值：&gt;=13批，实际完成值：13批，指标完成率100 %，分值5分，得分5分。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②质量指标：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指标1：国家级公益林管护质量自查，指标值=100%，实际完成值：100% ，指标完成率100 %，分值5分，得分5分。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③时效指标：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指标1：资金支付及时率，指标值：=100%，实际完成值：91%。分值5分，得分4.55分。偏差原因：偏差20%以内属于正常偏差，可视为无偏差。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指标2：防火应急分队补助保障周期，指标值：=180天，实际完成值：180天。分值5分，得分5分。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④成本指标：</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指标1：工资人均发放标准，指标值：≦0.81万元/人/月，实际完成值：0.81万元，指标完成率100%，分值4分，得分4分。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指标2：管护能力提升成本，指标值：≦121万元，实际完成值：120万元，指标完成率99.17%，分值4分，得分3.97分。偏差原因：偏差20%以内属于正常偏差，可视为无偏差。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指标3：防火应急分队补助成本，指标值：≦35元/人/天，实际完成值：35元/人/天，指标完成率100%，分值4分，得分4分。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指标4：病虫害防治经费成本，指标值：≦50万元，实际完成值：49.45万元，指标完成率98.9%，分值4分，得分3.96分。偏差原因：偏差20%以内属于正常偏差，可视为无偏差。</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指标5：宣传及物资装备成本，指标值：&lt;=45万元，实际完成值：45万元，指标完成率100%，分值4分，得分4分。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64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p>
    <w:p>
      <w:pPr>
        <w:spacing w:line="540" w:lineRule="exact"/>
        <w:ind w:firstLine="64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1.实施效益</w:t>
      </w:r>
    </w:p>
    <w:p>
      <w:pPr>
        <w:spacing w:line="540" w:lineRule="exact"/>
        <w:ind w:firstLine="64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①社会效益指标：解决就业人数，指标值≥45人，实际完成值=48人，达到预期指标，分值10分，得分10分。</w:t>
      </w:r>
    </w:p>
    <w:p>
      <w:pPr>
        <w:spacing w:line="540" w:lineRule="exact"/>
        <w:ind w:firstLine="64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②生态效益指标：保护森林资源，指标值：有效保护，达到预期效果，分值10分，得分10分。</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2.满意度指标：林区职工及周边群众满意度（%），指标值：</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90%，达到预期指标，分值10分，得分10分。</w:t>
      </w:r>
    </w:p>
    <w:p>
      <w:pPr>
        <w:numPr>
          <w:ilvl w:val="0"/>
          <w:numId w:val="0"/>
        </w:num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塔城地区裕民县2024年中央财政林业草原生态保护恢复资金（森林生态保护修复）项目年初预算673万元，全年预算673万元，实际支出612.92万元，预算执行率为91.07%，项目绩效指标总体完成率为98%，总体偏差率为2%。</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p>
    <w:p>
      <w:pPr>
        <w:spacing w:line="540" w:lineRule="exact"/>
        <w:ind w:firstLine="567"/>
        <w:rPr>
          <w:rStyle w:val="19"/>
          <w:rFonts w:hint="eastAsia" w:ascii="楷体" w:hAnsi="楷体" w:eastAsia="楷体"/>
          <w:b w:val="0"/>
          <w:bCs w:val="0"/>
          <w:spacing w:val="-6"/>
          <w:w w:val="95"/>
          <w:sz w:val="32"/>
          <w:szCs w:val="32"/>
        </w:rPr>
      </w:pPr>
      <w:r>
        <w:rPr>
          <w:rStyle w:val="19"/>
          <w:rFonts w:hint="eastAsia" w:ascii="楷体" w:hAnsi="楷体" w:eastAsia="楷体"/>
          <w:b w:val="0"/>
          <w:bCs w:val="0"/>
          <w:spacing w:val="-6"/>
          <w:w w:val="95"/>
          <w:sz w:val="32"/>
          <w:szCs w:val="32"/>
        </w:rPr>
        <w:t>2.进一步完善项目评价过程中有关数据和资料的收集、整理、审核及分析。项目启动时同步做好档案的归纳与整理，及时整理、收集、汇总，健全档案资料。项目后续管理有待进一步加强和跟踪。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19"/>
          <w:rFonts w:hint="eastAsia" w:ascii="楷体" w:hAnsi="楷体" w:eastAsia="楷体"/>
          <w:spacing w:val="-6"/>
          <w:w w:val="95"/>
          <w:sz w:val="32"/>
          <w:szCs w:val="32"/>
        </w:rPr>
      </w:pPr>
      <w:bookmarkStart w:id="0" w:name="_GoBack"/>
      <w:r>
        <w:rPr>
          <w:rStyle w:val="19"/>
          <w:rFonts w:hint="eastAsia" w:ascii="楷体" w:hAnsi="楷体" w:eastAsia="楷体"/>
          <w:b w:val="0"/>
          <w:bCs w:val="0"/>
          <w:spacing w:val="-6"/>
          <w:w w:val="95"/>
          <w:sz w:val="32"/>
          <w:szCs w:val="32"/>
        </w:rPr>
        <w:t>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bookmarkEnd w:id="0"/>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无</w:t>
      </w:r>
    </w:p>
    <w:p>
      <w:pPr>
        <w:spacing w:line="540" w:lineRule="exact"/>
        <w:rPr>
          <w:rStyle w:val="19"/>
          <w:rFonts w:hint="eastAsia" w:ascii="仿宋" w:hAnsi="仿宋" w:eastAsia="仿宋"/>
          <w:b w:val="0"/>
          <w:spacing w:val="-4"/>
          <w:sz w:val="32"/>
          <w:szCs w:val="32"/>
          <w:lang w:eastAsia="zh-CN"/>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eastAsia="宋体"/>
            <w:lang w:eastAsia="zh-CN"/>
          </w:rPr>
        </w:pPr>
        <w:r>
          <w:fldChar w:fldCharType="begin"/>
        </w:r>
        <w:r>
          <w:instrText xml:space="preserve">PAGE   \* MERGEFORMAT</w:instrText>
        </w:r>
        <w:r>
          <w:fldChar w:fldCharType="separate"/>
        </w:r>
        <w:r>
          <w:rPr>
            <w:lang w:val="zh-CN"/>
          </w:rPr>
          <w:t>1</w:t>
        </w:r>
        <w:r>
          <w:fldChar w:fldCharType="end"/>
        </w:r>
      </w:p>
    </w:sdtContent>
  </w:sdt>
  <w:p>
    <w:pPr>
      <w:pStyle w:val="12"/>
      <w:jc w:val="center"/>
      <w:rPr>
        <w:rFonts w:hint="eastAsia" w:eastAsia="宋体"/>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6A0DD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eyJoZGlkIjoiOTE1ZTA0YjFmNjE5Y2JmY2ZiNGYwOTBmM2ZmOGQwOGYiLCJ1c2VySWQiOiIzMjg5NDMyNjcifQ==</vt:lpwstr>
  </property>
</Properties>
</file>

<file path=customXml/itemProps1.xml><?xml version="1.0" encoding="utf-8"?>
<ds:datastoreItem xmlns:ds="http://schemas.openxmlformats.org/officeDocument/2006/customXml" ds:itemID="{b4fc60c0-6e09-4cd3-aabc-0f9f101b4f45}">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8599</Words>
  <Characters>8847</Characters>
  <Lines>5</Lines>
  <Paragraphs>1</Paragraphs>
  <TotalTime>3</TotalTime>
  <ScaleCrop>false</ScaleCrop>
  <LinksUpToDate>false</LinksUpToDate>
  <CharactersWithSpaces>8889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2025-09-30T05:59:23Z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C734C92AAAF24344A0E4232D8EB3359B</vt:lpwstr>
  </property>
  <property fmtid="{D5CDD505-2E9C-101B-9397-08002B2CF9AE}" pid="4" name="KSOTemplateDocerSaveRecord">
    <vt:lpwstr>eyJoZGlkIjoiOTE1ZTA0YjFmNjE5Y2JmY2ZiNGYwOTBmM2ZmOGQwOGYiLCJ1c2VySWQiOiIzMjg5NDMyNjcifQ_x003D__x003D_</vt:lpwstr>
  </property>
</Properties>
</file>